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5A8" w:rsidRDefault="00E965A8" w:rsidP="00E965A8">
      <w:pPr>
        <w:pStyle w:val="a3"/>
        <w:spacing w:after="0" w:line="360" w:lineRule="auto"/>
        <w:ind w:firstLine="15"/>
        <w:jc w:val="both"/>
      </w:pPr>
      <w:r>
        <w:rPr>
          <w:rFonts w:ascii="Times New Roman" w:hAnsi="Times New Roman"/>
          <w:sz w:val="24"/>
          <w:szCs w:val="24"/>
        </w:rPr>
        <w:t xml:space="preserve">Таблица 2. – Антитриптическая активность (АТА) и уровень </w:t>
      </w:r>
      <w:proofErr w:type="spellStart"/>
      <w:r>
        <w:rPr>
          <w:rFonts w:ascii="Times New Roman" w:hAnsi="Times New Roman"/>
          <w:sz w:val="24"/>
          <w:szCs w:val="24"/>
        </w:rPr>
        <w:t>кислотостабильных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ингибиторов (КСИ) в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ротовой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жидкости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плазме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крови </w:t>
      </w:r>
      <w:r>
        <w:rPr>
          <w:rFonts w:ascii="Times New Roman" w:hAnsi="Times New Roman"/>
          <w:sz w:val="24"/>
          <w:szCs w:val="24"/>
        </w:rPr>
        <w:t xml:space="preserve">на фоне лечения хронического апикального периодонтита </w:t>
      </w:r>
    </w:p>
    <w:p w:rsidR="00E965A8" w:rsidRDefault="00E965A8" w:rsidP="00E965A8">
      <w:pPr>
        <w:pStyle w:val="a3"/>
        <w:spacing w:after="0" w:line="360" w:lineRule="auto"/>
        <w:ind w:firstLine="15"/>
        <w:jc w:val="both"/>
        <w:rPr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Table 2.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Antitryptic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activity and the level of acid-stable inhibitors in oral fluid and blood plasma against the background of treatment of chronic apical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periodontitis</w:t>
      </w:r>
      <w:proofErr w:type="spellEnd"/>
    </w:p>
    <w:p w:rsidR="00E965A8" w:rsidRDefault="00E965A8" w:rsidP="00E965A8">
      <w:pPr>
        <w:pStyle w:val="a3"/>
        <w:spacing w:after="0" w:line="360" w:lineRule="auto"/>
        <w:ind w:firstLine="15"/>
        <w:jc w:val="both"/>
        <w:rPr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</w:t>
      </w:r>
    </w:p>
    <w:tbl>
      <w:tblPr>
        <w:tblW w:w="0" w:type="auto"/>
        <w:tblInd w:w="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1800"/>
        <w:gridCol w:w="1920"/>
        <w:gridCol w:w="1920"/>
        <w:gridCol w:w="1920"/>
        <w:gridCol w:w="1540"/>
      </w:tblGrid>
      <w:tr w:rsidR="00E965A8" w:rsidTr="00E965A8">
        <w:trPr>
          <w:cantSplit/>
          <w:trHeight w:val="480"/>
        </w:trPr>
        <w:tc>
          <w:tcPr>
            <w:tcW w:w="18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65A8" w:rsidRDefault="00E965A8">
            <w:pPr>
              <w:pStyle w:val="a3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/мг)</w:t>
            </w:r>
          </w:p>
        </w:tc>
        <w:tc>
          <w:tcPr>
            <w:tcW w:w="53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spacing w:after="0" w:line="360" w:lineRule="auto"/>
              <w:ind w:left="-18" w:firstLine="1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КСИ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/мг)</w:t>
            </w:r>
          </w:p>
        </w:tc>
      </w:tr>
      <w:tr w:rsidR="00E965A8" w:rsidTr="00E965A8">
        <w:trPr>
          <w:cantSplit/>
          <w:trHeight w:val="48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965A8" w:rsidRDefault="00E965A8">
            <w:pPr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ротовая жидкость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плазма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ротовая жидкость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плазма</w:t>
            </w:r>
          </w:p>
        </w:tc>
      </w:tr>
      <w:tr w:rsidR="00E965A8" w:rsidTr="00E965A8">
        <w:trPr>
          <w:cantSplit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25,17±3,88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15,41±1,62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17,40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3,46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E965A8" w:rsidTr="00E965A8">
        <w:trPr>
          <w:cantSplit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До лечения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49,00±6,91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22,35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132,15±8,65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4,51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E965A8" w:rsidTr="00E965A8">
        <w:trPr>
          <w:cantSplit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После лечения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68,49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22,66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22,07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1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127,34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27,14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5A8" w:rsidRDefault="00E965A8">
            <w:pPr>
              <w:pStyle w:val="a3"/>
              <w:tabs>
                <w:tab w:val="left" w:pos="709"/>
              </w:tabs>
              <w:spacing w:after="0" w:line="36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4,41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±</w:t>
            </w:r>
            <w:r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</w:tr>
    </w:tbl>
    <w:p w:rsidR="00C520A2" w:rsidRDefault="00C520A2"/>
    <w:sectPr w:rsidR="00C5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965A8"/>
    <w:rsid w:val="00C520A2"/>
    <w:rsid w:val="00E9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965A8"/>
    <w:pPr>
      <w:suppressAutoHyphens/>
      <w:spacing w:after="160" w:line="252" w:lineRule="auto"/>
    </w:pPr>
    <w:rPr>
      <w:rFonts w:ascii="Calibri" w:eastAsia="Calibri" w:hAnsi="Calibri" w:cs="Times New Roman"/>
      <w:color w:val="00000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2022-07-26T08:41:00Z</dcterms:created>
  <dcterms:modified xsi:type="dcterms:W3CDTF">2022-07-26T08:42:00Z</dcterms:modified>
</cp:coreProperties>
</file>